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01202">
      <w:pPr>
        <w:spacing w:before="156" w:after="156"/>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p>
    <w:p w14:paraId="20586007">
      <w:pPr>
        <w:spacing w:before="156" w:after="156"/>
        <w:jc w:val="center"/>
        <w:rPr>
          <w:rFonts w:ascii="方正公文小标宋" w:hAnsi="方正公文小标宋" w:eastAsia="方正公文小标宋" w:cs="方正公文小标宋"/>
          <w:color w:val="000000" w:themeColor="text1"/>
          <w:sz w:val="36"/>
          <w:szCs w:val="44"/>
          <w14:textFill>
            <w14:solidFill>
              <w14:schemeClr w14:val="tx1"/>
            </w14:solidFill>
          </w14:textFill>
        </w:rPr>
      </w:pPr>
      <w:r>
        <w:rPr>
          <w:rFonts w:hint="eastAsia" w:ascii="方正公文小标宋" w:hAnsi="方正公文小标宋" w:eastAsia="方正公文小标宋" w:cs="方正公文小标宋"/>
          <w:color w:val="000000" w:themeColor="text1"/>
          <w:sz w:val="36"/>
          <w:szCs w:val="44"/>
          <w14:textFill>
            <w14:solidFill>
              <w14:schemeClr w14:val="tx1"/>
            </w14:solidFill>
          </w14:textFill>
        </w:rPr>
        <w:t>2025企创融通汇“聚焦核心部件 赋能具身智能”主题产业问题清单</w:t>
      </w:r>
    </w:p>
    <w:tbl>
      <w:tblPr>
        <w:tblStyle w:val="4"/>
        <w:tblW w:w="15891" w:type="dxa"/>
        <w:jc w:val="center"/>
        <w:tblLayout w:type="fixed"/>
        <w:tblCellMar>
          <w:top w:w="0" w:type="dxa"/>
          <w:left w:w="108" w:type="dxa"/>
          <w:bottom w:w="0" w:type="dxa"/>
          <w:right w:w="108" w:type="dxa"/>
        </w:tblCellMar>
      </w:tblPr>
      <w:tblGrid>
        <w:gridCol w:w="1203"/>
        <w:gridCol w:w="1203"/>
        <w:gridCol w:w="1203"/>
        <w:gridCol w:w="2937"/>
        <w:gridCol w:w="9345"/>
      </w:tblGrid>
      <w:tr w14:paraId="1750F780">
        <w:tblPrEx>
          <w:tblCellMar>
            <w:top w:w="0" w:type="dxa"/>
            <w:left w:w="108" w:type="dxa"/>
            <w:bottom w:w="0" w:type="dxa"/>
            <w:right w:w="108" w:type="dxa"/>
          </w:tblCellMar>
        </w:tblPrEx>
        <w:trPr>
          <w:trHeight w:val="820" w:hRule="atLeast"/>
          <w:tblHeader/>
          <w:jc w:val="center"/>
        </w:trPr>
        <w:tc>
          <w:tcPr>
            <w:tcW w:w="1203" w:type="dxa"/>
            <w:tcBorders>
              <w:top w:val="single" w:color="000000" w:sz="4" w:space="0"/>
              <w:left w:val="single" w:color="000000" w:sz="4" w:space="0"/>
              <w:bottom w:val="single" w:color="auto" w:sz="4" w:space="0"/>
              <w:right w:val="single" w:color="000000" w:sz="4" w:space="0"/>
            </w:tcBorders>
            <w:shd w:val="clear" w:color="auto" w:fill="B8CCE4"/>
            <w:noWrap/>
            <w:vAlign w:val="center"/>
          </w:tcPr>
          <w:p w14:paraId="50F7A76E">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领域</w:t>
            </w:r>
          </w:p>
        </w:tc>
        <w:tc>
          <w:tcPr>
            <w:tcW w:w="1203" w:type="dxa"/>
            <w:tcBorders>
              <w:top w:val="single" w:color="000000" w:sz="4" w:space="0"/>
              <w:left w:val="single" w:color="000000" w:sz="4" w:space="0"/>
              <w:bottom w:val="single" w:color="auto" w:sz="4" w:space="0"/>
              <w:right w:val="single" w:color="000000" w:sz="4" w:space="0"/>
            </w:tcBorders>
            <w:shd w:val="clear" w:color="auto" w:fill="B8CCE4"/>
            <w:noWrap/>
            <w:vAlign w:val="center"/>
          </w:tcPr>
          <w:p w14:paraId="31880344">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分类</w:t>
            </w:r>
          </w:p>
        </w:tc>
        <w:tc>
          <w:tcPr>
            <w:tcW w:w="1203" w:type="dxa"/>
            <w:tcBorders>
              <w:top w:val="single" w:color="000000" w:sz="4" w:space="0"/>
              <w:left w:val="single" w:color="000000" w:sz="4" w:space="0"/>
              <w:bottom w:val="single" w:color="auto" w:sz="4" w:space="0"/>
              <w:right w:val="single" w:color="000000" w:sz="4" w:space="0"/>
            </w:tcBorders>
            <w:shd w:val="clear" w:color="auto" w:fill="B8CCE4"/>
            <w:noWrap/>
            <w:vAlign w:val="center"/>
          </w:tcPr>
          <w:p w14:paraId="6BFAA3D2">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编号</w:t>
            </w:r>
          </w:p>
        </w:tc>
        <w:tc>
          <w:tcPr>
            <w:tcW w:w="2937" w:type="dxa"/>
            <w:tcBorders>
              <w:top w:val="single" w:color="000000" w:sz="4" w:space="0"/>
              <w:left w:val="single" w:color="000000" w:sz="4" w:space="0"/>
              <w:bottom w:val="single" w:color="auto" w:sz="4" w:space="0"/>
              <w:right w:val="single" w:color="000000" w:sz="4" w:space="0"/>
            </w:tcBorders>
            <w:shd w:val="clear" w:color="auto" w:fill="B8CCE4"/>
            <w:noWrap/>
            <w:vAlign w:val="center"/>
          </w:tcPr>
          <w:p w14:paraId="6BEE56DB">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产业问题</w:t>
            </w:r>
          </w:p>
        </w:tc>
        <w:tc>
          <w:tcPr>
            <w:tcW w:w="9345" w:type="dxa"/>
            <w:tcBorders>
              <w:top w:val="single" w:color="000000" w:sz="4" w:space="0"/>
              <w:left w:val="single" w:color="000000" w:sz="4" w:space="0"/>
              <w:bottom w:val="single" w:color="auto" w:sz="4" w:space="0"/>
              <w:right w:val="single" w:color="000000" w:sz="4" w:space="0"/>
            </w:tcBorders>
            <w:shd w:val="clear" w:color="auto" w:fill="B8CCE4"/>
            <w:noWrap/>
            <w:vAlign w:val="center"/>
          </w:tcPr>
          <w:p w14:paraId="5FFEB4F5">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问题（需求）具体描述</w:t>
            </w:r>
          </w:p>
        </w:tc>
      </w:tr>
      <w:tr w14:paraId="40AF2072">
        <w:tblPrEx>
          <w:tblCellMar>
            <w:top w:w="0" w:type="dxa"/>
            <w:left w:w="108" w:type="dxa"/>
            <w:bottom w:w="0" w:type="dxa"/>
            <w:right w:w="108" w:type="dxa"/>
          </w:tblCellMar>
        </w:tblPrEx>
        <w:trPr>
          <w:trHeight w:val="820" w:hRule="atLeast"/>
          <w:jc w:val="center"/>
        </w:trPr>
        <w:tc>
          <w:tcPr>
            <w:tcW w:w="1203" w:type="dxa"/>
            <w:vMerge w:val="restart"/>
            <w:tcBorders>
              <w:top w:val="single" w:color="auto" w:sz="4" w:space="0"/>
              <w:left w:val="single" w:color="auto" w:sz="4" w:space="0"/>
              <w:right w:val="single" w:color="000000" w:sz="4" w:space="0"/>
            </w:tcBorders>
            <w:noWrap/>
            <w:vAlign w:val="center"/>
          </w:tcPr>
          <w:p w14:paraId="6619CDB7">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具身智能机器人核心部件</w:t>
            </w:r>
          </w:p>
        </w:tc>
        <w:tc>
          <w:tcPr>
            <w:tcW w:w="1203" w:type="dxa"/>
            <w:vMerge w:val="restart"/>
            <w:tcBorders>
              <w:top w:val="single" w:color="auto" w:sz="4" w:space="0"/>
              <w:left w:val="single" w:color="000000" w:sz="4" w:space="0"/>
              <w:right w:val="single" w:color="000000" w:sz="4" w:space="0"/>
            </w:tcBorders>
            <w:noWrap/>
            <w:vAlign w:val="center"/>
          </w:tcPr>
          <w:p w14:paraId="2968A1C9">
            <w:pPr>
              <w:widowControl/>
              <w:adjustRightInd/>
              <w:snapToGrid/>
              <w:spacing w:before="156" w:after="156" w:line="500" w:lineRule="exact"/>
              <w:textAlignment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基础研发与核心技术创新</w:t>
            </w:r>
          </w:p>
        </w:tc>
        <w:tc>
          <w:tcPr>
            <w:tcW w:w="1203" w:type="dxa"/>
            <w:tcBorders>
              <w:top w:val="single" w:color="auto" w:sz="4" w:space="0"/>
              <w:left w:val="single" w:color="000000" w:sz="4" w:space="0"/>
              <w:bottom w:val="single" w:color="000000" w:sz="4" w:space="0"/>
              <w:right w:val="single" w:color="000000" w:sz="4" w:space="0"/>
            </w:tcBorders>
            <w:noWrap/>
            <w:vAlign w:val="center"/>
          </w:tcPr>
          <w:p w14:paraId="1DC0D2D6">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LM-01</w:t>
            </w:r>
          </w:p>
        </w:tc>
        <w:tc>
          <w:tcPr>
            <w:tcW w:w="2937" w:type="dxa"/>
            <w:tcBorders>
              <w:top w:val="single" w:color="auto" w:sz="4" w:space="0"/>
              <w:left w:val="single" w:color="000000" w:sz="4" w:space="0"/>
              <w:bottom w:val="single" w:color="000000" w:sz="4" w:space="0"/>
              <w:right w:val="single" w:color="auto" w:sz="4" w:space="0"/>
            </w:tcBorders>
            <w:noWrap/>
            <w:vAlign w:val="center"/>
          </w:tcPr>
          <w:p w14:paraId="64DAFDAD">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多模态感知与决策融合挑战</w:t>
            </w:r>
          </w:p>
        </w:tc>
        <w:tc>
          <w:tcPr>
            <w:tcW w:w="9345" w:type="dxa"/>
            <w:tcBorders>
              <w:top w:val="single" w:color="auto" w:sz="4" w:space="0"/>
              <w:left w:val="single" w:color="auto" w:sz="4" w:space="0"/>
              <w:bottom w:val="single" w:color="000000" w:sz="4" w:space="0"/>
              <w:right w:val="single" w:color="auto" w:sz="4" w:space="0"/>
            </w:tcBorders>
            <w:noWrap/>
            <w:vAlign w:val="center"/>
          </w:tcPr>
          <w:p w14:paraId="3D28D44C">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具身智能机器人在动态环境中实时多模态感知与决策融合能力不足，难以应对复杂场景（如</w:t>
            </w:r>
            <w:r>
              <w:rPr>
                <w:rFonts w:hint="eastAsia" w:ascii="仿宋" w:hAnsi="仿宋" w:eastAsia="仿宋" w:cs="仿宋"/>
                <w:color w:val="000000" w:themeColor="text1"/>
                <w:sz w:val="28"/>
                <w:szCs w:val="28"/>
                <w14:textFill>
                  <w14:solidFill>
                    <w14:schemeClr w14:val="tx1"/>
                  </w14:solidFill>
                </w14:textFill>
              </w:rPr>
              <w:t>康复医疗、</w:t>
            </w:r>
            <w:r>
              <w:rPr>
                <w:rFonts w:ascii="仿宋" w:hAnsi="仿宋" w:eastAsia="仿宋" w:cs="仿宋"/>
                <w:color w:val="000000" w:themeColor="text1"/>
                <w:sz w:val="28"/>
                <w:szCs w:val="28"/>
                <w14:textFill>
                  <w14:solidFill>
                    <w14:schemeClr w14:val="tx1"/>
                  </w14:solidFill>
                </w14:textFill>
              </w:rPr>
              <w:t>家庭服务、工业巡检）中的实时响应需求，存在感知延迟、决策冲突等问题。</w:t>
            </w:r>
          </w:p>
        </w:tc>
      </w:tr>
      <w:tr w14:paraId="45E4C7B8">
        <w:tblPrEx>
          <w:tblCellMar>
            <w:top w:w="0" w:type="dxa"/>
            <w:left w:w="108" w:type="dxa"/>
            <w:bottom w:w="0" w:type="dxa"/>
            <w:right w:w="108" w:type="dxa"/>
          </w:tblCellMar>
        </w:tblPrEx>
        <w:trPr>
          <w:trHeight w:val="820" w:hRule="atLeast"/>
          <w:jc w:val="center"/>
        </w:trPr>
        <w:tc>
          <w:tcPr>
            <w:tcW w:w="1203" w:type="dxa"/>
            <w:vMerge w:val="continue"/>
            <w:tcBorders>
              <w:left w:val="single" w:color="auto" w:sz="4" w:space="0"/>
              <w:right w:val="single" w:color="000000" w:sz="4" w:space="0"/>
            </w:tcBorders>
            <w:noWrap/>
            <w:vAlign w:val="center"/>
          </w:tcPr>
          <w:p w14:paraId="4F8A47B3">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left w:val="single" w:color="000000" w:sz="4" w:space="0"/>
              <w:right w:val="single" w:color="000000" w:sz="4" w:space="0"/>
            </w:tcBorders>
            <w:noWrap/>
            <w:vAlign w:val="center"/>
          </w:tcPr>
          <w:p w14:paraId="258CBB25">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tcBorders>
              <w:top w:val="single" w:color="auto" w:sz="4" w:space="0"/>
              <w:left w:val="single" w:color="000000" w:sz="4" w:space="0"/>
              <w:bottom w:val="single" w:color="000000" w:sz="4" w:space="0"/>
              <w:right w:val="single" w:color="000000" w:sz="4" w:space="0"/>
            </w:tcBorders>
            <w:noWrap/>
            <w:vAlign w:val="center"/>
          </w:tcPr>
          <w:p w14:paraId="096F29BC">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LM-02</w:t>
            </w:r>
          </w:p>
        </w:tc>
        <w:tc>
          <w:tcPr>
            <w:tcW w:w="2937" w:type="dxa"/>
            <w:tcBorders>
              <w:top w:val="single" w:color="auto" w:sz="4" w:space="0"/>
              <w:left w:val="single" w:color="000000" w:sz="4" w:space="0"/>
              <w:bottom w:val="single" w:color="000000" w:sz="4" w:space="0"/>
              <w:right w:val="single" w:color="auto" w:sz="4" w:space="0"/>
            </w:tcBorders>
            <w:noWrap/>
            <w:vAlign w:val="center"/>
          </w:tcPr>
          <w:p w14:paraId="23D9D5EF">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核心部件技术瓶颈</w:t>
            </w:r>
          </w:p>
        </w:tc>
        <w:tc>
          <w:tcPr>
            <w:tcW w:w="9345" w:type="dxa"/>
            <w:tcBorders>
              <w:top w:val="single" w:color="000000" w:sz="4" w:space="0"/>
              <w:left w:val="single" w:color="auto" w:sz="4" w:space="0"/>
              <w:bottom w:val="single" w:color="000000" w:sz="4" w:space="0"/>
              <w:right w:val="single" w:color="auto" w:sz="4" w:space="0"/>
            </w:tcBorders>
            <w:noWrap/>
            <w:vAlign w:val="center"/>
          </w:tcPr>
          <w:p w14:paraId="7234624C">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高精度力控传感器、轻量化关节模组、仿生驱动机构等核心部件存在技术瓶颈，影响具身智能机器人的灵活性和性能</w:t>
            </w:r>
            <w:r>
              <w:rPr>
                <w:rFonts w:hint="eastAsia" w:ascii="仿宋" w:hAnsi="仿宋" w:eastAsia="仿宋" w:cs="仿宋"/>
                <w:color w:val="000000" w:themeColor="text1"/>
                <w:sz w:val="28"/>
                <w:szCs w:val="28"/>
                <w14:textFill>
                  <w14:solidFill>
                    <w14:schemeClr w14:val="tx1"/>
                  </w14:solidFill>
                </w14:textFill>
              </w:rPr>
              <w:t>。</w:t>
            </w:r>
          </w:p>
        </w:tc>
      </w:tr>
      <w:tr w14:paraId="339FD168">
        <w:tblPrEx>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55B0C1C8">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left w:val="single" w:color="000000" w:sz="4" w:space="0"/>
              <w:right w:val="single" w:color="000000" w:sz="4" w:space="0"/>
            </w:tcBorders>
            <w:noWrap/>
            <w:vAlign w:val="center"/>
          </w:tcPr>
          <w:p w14:paraId="5316F969">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665F2658">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LM-03</w:t>
            </w:r>
          </w:p>
        </w:tc>
        <w:tc>
          <w:tcPr>
            <w:tcW w:w="2937" w:type="dxa"/>
            <w:tcBorders>
              <w:top w:val="single" w:color="000000" w:sz="4" w:space="0"/>
              <w:left w:val="single" w:color="000000" w:sz="4" w:space="0"/>
              <w:bottom w:val="single" w:color="000000" w:sz="4" w:space="0"/>
              <w:right w:val="single" w:color="auto" w:sz="4" w:space="0"/>
            </w:tcBorders>
            <w:noWrap/>
            <w:vAlign w:val="center"/>
          </w:tcPr>
          <w:p w14:paraId="7E29C11E">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行业标准与认证体系空白</w:t>
            </w:r>
          </w:p>
        </w:tc>
        <w:tc>
          <w:tcPr>
            <w:tcW w:w="9345" w:type="dxa"/>
            <w:tcBorders>
              <w:top w:val="single" w:color="000000" w:sz="4" w:space="0"/>
              <w:left w:val="single" w:color="auto" w:sz="4" w:space="0"/>
              <w:bottom w:val="single" w:color="000000" w:sz="4" w:space="0"/>
              <w:right w:val="single" w:color="auto" w:sz="4" w:space="0"/>
            </w:tcBorders>
            <w:noWrap/>
            <w:vAlign w:val="center"/>
          </w:tcPr>
          <w:p w14:paraId="36F63412">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缺乏统一技术标准与认证体系，</w:t>
            </w:r>
            <w:r>
              <w:rPr>
                <w:rFonts w:hint="eastAsia" w:ascii="仿宋" w:hAnsi="仿宋" w:eastAsia="仿宋" w:cs="仿宋"/>
                <w:color w:val="000000" w:themeColor="text1"/>
                <w:sz w:val="28"/>
                <w:szCs w:val="28"/>
                <w14:textFill>
                  <w14:solidFill>
                    <w14:schemeClr w14:val="tx1"/>
                  </w14:solidFill>
                </w14:textFill>
              </w:rPr>
              <w:t>如电池标准化，</w:t>
            </w:r>
            <w:r>
              <w:rPr>
                <w:rFonts w:ascii="仿宋" w:hAnsi="仿宋" w:eastAsia="仿宋" w:cs="仿宋"/>
                <w:color w:val="000000" w:themeColor="text1"/>
                <w:sz w:val="28"/>
                <w:szCs w:val="28"/>
                <w14:textFill>
                  <w14:solidFill>
                    <w14:schemeClr w14:val="tx1"/>
                  </w14:solidFill>
                </w14:textFill>
              </w:rPr>
              <w:t>减少定制化以降低成本、提升产品稳健性</w:t>
            </w:r>
            <w:r>
              <w:rPr>
                <w:rFonts w:hint="eastAsia" w:ascii="仿宋" w:hAnsi="仿宋" w:eastAsia="仿宋" w:cs="仿宋"/>
                <w:color w:val="000000" w:themeColor="text1"/>
                <w:sz w:val="28"/>
                <w:szCs w:val="28"/>
                <w14:textFill>
                  <w14:solidFill>
                    <w14:schemeClr w14:val="tx1"/>
                  </w14:solidFill>
                </w14:textFill>
              </w:rPr>
              <w:t>。</w:t>
            </w:r>
          </w:p>
        </w:tc>
      </w:tr>
      <w:tr w14:paraId="124A4AED">
        <w:tblPrEx>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17EF0E86">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left w:val="single" w:color="000000" w:sz="4" w:space="0"/>
              <w:right w:val="single" w:color="000000" w:sz="4" w:space="0"/>
            </w:tcBorders>
            <w:noWrap/>
            <w:vAlign w:val="center"/>
          </w:tcPr>
          <w:p w14:paraId="1E745AF4">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tcBorders>
              <w:top w:val="single" w:color="auto" w:sz="4" w:space="0"/>
              <w:left w:val="single" w:color="000000" w:sz="4" w:space="0"/>
              <w:bottom w:val="single" w:color="000000" w:sz="4" w:space="0"/>
              <w:right w:val="single" w:color="000000" w:sz="4" w:space="0"/>
            </w:tcBorders>
            <w:noWrap/>
            <w:vAlign w:val="center"/>
          </w:tcPr>
          <w:p w14:paraId="51B2441D">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LM-04</w:t>
            </w:r>
          </w:p>
        </w:tc>
        <w:tc>
          <w:tcPr>
            <w:tcW w:w="2937" w:type="dxa"/>
            <w:tcBorders>
              <w:top w:val="single" w:color="auto" w:sz="4" w:space="0"/>
              <w:left w:val="single" w:color="000000" w:sz="4" w:space="0"/>
              <w:bottom w:val="single" w:color="000000" w:sz="4" w:space="0"/>
              <w:right w:val="single" w:color="000000" w:sz="4" w:space="0"/>
            </w:tcBorders>
            <w:noWrap/>
            <w:vAlign w:val="center"/>
          </w:tcPr>
          <w:p w14:paraId="7E8D0EBC">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机器人领域电池的续航问题</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1B6497E4">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机器人受限于</w:t>
            </w:r>
            <w:r>
              <w:rPr>
                <w:rFonts w:hint="eastAsia" w:ascii="仿宋" w:hAnsi="仿宋" w:eastAsia="仿宋" w:cs="仿宋"/>
                <w:color w:val="000000" w:themeColor="text1"/>
                <w:sz w:val="28"/>
                <w:szCs w:val="28"/>
                <w14:textFill>
                  <w14:solidFill>
                    <w14:schemeClr w14:val="tx1"/>
                  </w14:solidFill>
                </w14:textFill>
              </w:rPr>
              <w:t>大小</w:t>
            </w:r>
            <w:r>
              <w:rPr>
                <w:rFonts w:ascii="仿宋" w:hAnsi="仿宋" w:eastAsia="仿宋" w:cs="仿宋"/>
                <w:color w:val="000000" w:themeColor="text1"/>
                <w:sz w:val="28"/>
                <w:szCs w:val="28"/>
                <w14:textFill>
                  <w14:solidFill>
                    <w14:schemeClr w14:val="tx1"/>
                  </w14:solidFill>
                </w14:textFill>
              </w:rPr>
              <w:t>和重量约束，难以满足长时间作业需求</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如何在轻量化前提下提升续航能力</w:t>
            </w:r>
            <w:r>
              <w:rPr>
                <w:rFonts w:hint="eastAsia" w:ascii="仿宋" w:hAnsi="仿宋" w:eastAsia="仿宋" w:cs="仿宋"/>
                <w:color w:val="000000" w:themeColor="text1"/>
                <w:sz w:val="28"/>
                <w:szCs w:val="28"/>
                <w14:textFill>
                  <w14:solidFill>
                    <w14:schemeClr w14:val="tx1"/>
                  </w14:solidFill>
                </w14:textFill>
              </w:rPr>
              <w:t>。</w:t>
            </w:r>
          </w:p>
        </w:tc>
      </w:tr>
      <w:tr w14:paraId="7B872146">
        <w:tblPrEx>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71C124A2">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left w:val="single" w:color="000000" w:sz="4" w:space="0"/>
              <w:right w:val="single" w:color="000000" w:sz="4" w:space="0"/>
            </w:tcBorders>
            <w:noWrap/>
            <w:vAlign w:val="center"/>
          </w:tcPr>
          <w:p w14:paraId="12CD19B5">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6F73302">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LM-05</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176A5622">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大模型可靠性问题</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4BBA4D9E">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大模型应用于具身智能机器人时存在机器幻觉、机器欺骗、机器韧性等可靠性问题，影响系统稳定性</w:t>
            </w:r>
            <w:r>
              <w:rPr>
                <w:rFonts w:hint="eastAsia" w:ascii="仿宋" w:hAnsi="仿宋" w:eastAsia="仿宋" w:cs="仿宋"/>
                <w:color w:val="000000" w:themeColor="text1"/>
                <w:sz w:val="28"/>
                <w:szCs w:val="28"/>
                <w14:textFill>
                  <w14:solidFill>
                    <w14:schemeClr w14:val="tx1"/>
                  </w14:solidFill>
                </w14:textFill>
              </w:rPr>
              <w:t>。</w:t>
            </w:r>
          </w:p>
        </w:tc>
      </w:tr>
      <w:tr w14:paraId="217C4A3C">
        <w:tblPrEx>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66143BE1">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left w:val="single" w:color="000000" w:sz="4" w:space="0"/>
              <w:right w:val="single" w:color="000000" w:sz="4" w:space="0"/>
            </w:tcBorders>
            <w:noWrap/>
            <w:vAlign w:val="center"/>
          </w:tcPr>
          <w:p w14:paraId="18413389">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08156606">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LM-06</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398F7ECD">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机器人轻量化问题</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63C06568">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如何结合新材料、高性能材料，实现机器人轻量化问题。</w:t>
            </w:r>
          </w:p>
        </w:tc>
      </w:tr>
      <w:tr w14:paraId="74349B49">
        <w:tblPrEx>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4CA8A0ED">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left w:val="single" w:color="000000" w:sz="4" w:space="0"/>
              <w:bottom w:val="single" w:color="auto" w:sz="4" w:space="0"/>
              <w:right w:val="single" w:color="000000" w:sz="4" w:space="0"/>
            </w:tcBorders>
            <w:noWrap/>
            <w:vAlign w:val="center"/>
          </w:tcPr>
          <w:p w14:paraId="18B2FE2D">
            <w:pPr>
              <w:widowControl/>
              <w:adjustRightInd/>
              <w:snapToGrid/>
              <w:spacing w:before="156" w:after="156" w:line="500" w:lineRule="exact"/>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noWrap/>
            <w:vAlign w:val="center"/>
          </w:tcPr>
          <w:p w14:paraId="49B5D618">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LM-07</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77248A9A">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自主决策性问题</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01A8D084">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以数据科学为例，机器人是否能产生自主决策性能力，如何避免机器不受人为控制。</w:t>
            </w:r>
          </w:p>
        </w:tc>
      </w:tr>
      <w:tr w14:paraId="62898C9C">
        <w:tblPrEx>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41790394">
            <w:pPr>
              <w:widowControl/>
              <w:spacing w:before="156" w:after="156"/>
              <w:jc w:val="center"/>
              <w:textAlignment w:val="center"/>
              <w:rPr>
                <w:rFonts w:ascii="仿宋" w:hAnsi="仿宋" w:eastAsia="仿宋" w:cs="仿宋"/>
                <w:color w:val="000000" w:themeColor="text1"/>
                <w:sz w:val="28"/>
                <w:szCs w:val="28"/>
                <w14:textFill>
                  <w14:solidFill>
                    <w14:schemeClr w14:val="tx1"/>
                  </w14:solidFill>
                </w14:textFill>
              </w:rPr>
            </w:pPr>
          </w:p>
        </w:tc>
        <w:tc>
          <w:tcPr>
            <w:tcW w:w="1203" w:type="dxa"/>
            <w:vMerge w:val="restart"/>
            <w:tcBorders>
              <w:top w:val="single" w:color="auto" w:sz="4" w:space="0"/>
              <w:left w:val="single" w:color="auto" w:sz="4" w:space="0"/>
              <w:right w:val="single" w:color="auto" w:sz="4" w:space="0"/>
            </w:tcBorders>
            <w:noWrap/>
            <w:vAlign w:val="center"/>
          </w:tcPr>
          <w:p w14:paraId="0A651C1D">
            <w:pPr>
              <w:widowControl/>
              <w:adjustRightInd/>
              <w:snapToGrid/>
              <w:spacing w:before="156" w:after="156"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制造落地与供应链协同</w:t>
            </w:r>
          </w:p>
        </w:tc>
        <w:tc>
          <w:tcPr>
            <w:tcW w:w="1203" w:type="dxa"/>
            <w:tcBorders>
              <w:top w:val="single" w:color="000000" w:sz="4" w:space="0"/>
              <w:left w:val="single" w:color="auto" w:sz="4" w:space="0"/>
              <w:bottom w:val="single" w:color="000000" w:sz="4" w:space="0"/>
              <w:right w:val="single" w:color="000000" w:sz="4" w:space="0"/>
            </w:tcBorders>
            <w:noWrap/>
            <w:vAlign w:val="center"/>
          </w:tcPr>
          <w:p w14:paraId="6C087E02">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LM-08</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4A93DCDB">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核心部件</w:t>
            </w:r>
            <w:r>
              <w:rPr>
                <w:rFonts w:hint="eastAsia" w:ascii="仿宋" w:hAnsi="仿宋" w:eastAsia="仿宋" w:cs="仿宋"/>
                <w:color w:val="000000" w:themeColor="text1"/>
                <w:sz w:val="28"/>
                <w:szCs w:val="28"/>
                <w14:textFill>
                  <w14:solidFill>
                    <w14:schemeClr w14:val="tx1"/>
                  </w14:solidFill>
                </w14:textFill>
              </w:rPr>
              <w:t>高端市场仍依赖进口问题</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064B2981">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具身智能机器人核心部件的国产化替代与量产一致性是技术、产业与政策协同的系统工程。当前，国内企业在政策支持、市场驱动和技术进步下已取得显著进展，但高端市场仍依赖进口。</w:t>
            </w:r>
          </w:p>
        </w:tc>
      </w:tr>
      <w:tr w14:paraId="3F29BA87">
        <w:tblPrEx>
          <w:tblCellMar>
            <w:top w:w="0" w:type="dxa"/>
            <w:left w:w="108" w:type="dxa"/>
            <w:bottom w:w="0" w:type="dxa"/>
            <w:right w:w="108" w:type="dxa"/>
          </w:tblCellMar>
        </w:tblPrEx>
        <w:trPr>
          <w:trHeight w:val="415" w:hRule="atLeast"/>
          <w:jc w:val="center"/>
        </w:trPr>
        <w:tc>
          <w:tcPr>
            <w:tcW w:w="1203" w:type="dxa"/>
            <w:vMerge w:val="continue"/>
            <w:tcBorders>
              <w:left w:val="single" w:color="auto" w:sz="4" w:space="0"/>
              <w:right w:val="single" w:color="000000" w:sz="4" w:space="0"/>
            </w:tcBorders>
            <w:noWrap/>
            <w:vAlign w:val="center"/>
          </w:tcPr>
          <w:p w14:paraId="66C91182">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left w:val="single" w:color="auto" w:sz="4" w:space="0"/>
              <w:right w:val="single" w:color="auto" w:sz="4" w:space="0"/>
            </w:tcBorders>
            <w:noWrap/>
            <w:vAlign w:val="center"/>
          </w:tcPr>
          <w:p w14:paraId="3830E016">
            <w:pPr>
              <w:widowControl/>
              <w:adjustRightInd/>
              <w:snapToGrid/>
              <w:spacing w:before="156" w:after="156" w:line="500" w:lineRule="exact"/>
              <w:rPr>
                <w:rFonts w:ascii="仿宋" w:hAnsi="仿宋" w:eastAsia="仿宋" w:cs="宋体"/>
                <w:color w:val="000000" w:themeColor="text1"/>
                <w:sz w:val="28"/>
                <w:szCs w:val="28"/>
                <w14:textFill>
                  <w14:solidFill>
                    <w14:schemeClr w14:val="tx1"/>
                  </w14:solidFill>
                </w14:textFill>
              </w:rPr>
            </w:pPr>
          </w:p>
        </w:tc>
        <w:tc>
          <w:tcPr>
            <w:tcW w:w="1203" w:type="dxa"/>
            <w:tcBorders>
              <w:top w:val="single" w:color="000000" w:sz="4" w:space="0"/>
              <w:left w:val="single" w:color="000000" w:sz="4" w:space="0"/>
              <w:bottom w:val="single" w:color="auto" w:sz="4" w:space="0"/>
              <w:right w:val="single" w:color="000000" w:sz="4" w:space="0"/>
            </w:tcBorders>
            <w:noWrap/>
            <w:vAlign w:val="center"/>
          </w:tcPr>
          <w:p w14:paraId="365D1F31">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LM-09</w:t>
            </w:r>
          </w:p>
        </w:tc>
        <w:tc>
          <w:tcPr>
            <w:tcW w:w="2937" w:type="dxa"/>
            <w:tcBorders>
              <w:top w:val="single" w:color="000000" w:sz="4" w:space="0"/>
              <w:left w:val="single" w:color="000000" w:sz="4" w:space="0"/>
              <w:bottom w:val="single" w:color="000000" w:sz="4" w:space="0"/>
              <w:right w:val="single" w:color="000000" w:sz="4" w:space="0"/>
            </w:tcBorders>
            <w:noWrap/>
            <w:vAlign w:val="center"/>
          </w:tcPr>
          <w:p w14:paraId="056FF948">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供应链构建</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7A2904FC">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企业获取政府及行业场景资源存在壁垒：</w:t>
            </w:r>
            <w:r>
              <w:rPr>
                <w:rFonts w:ascii="仿宋" w:hAnsi="仿宋" w:eastAsia="仿宋" w:cs="仿宋"/>
                <w:color w:val="000000" w:themeColor="text1"/>
                <w:sz w:val="28"/>
                <w:szCs w:val="28"/>
                <w14:textFill>
                  <w14:solidFill>
                    <w14:schemeClr w14:val="tx1"/>
                  </w14:solidFill>
                </w14:textFill>
              </w:rPr>
              <w:t>场景需求信息不对称，缺乏统一对接平台；跨行业协同机制缺失，技术整合效率低；供应链各环节（研发-制造-应用）衔接松散，难以形成闭环。</w:t>
            </w:r>
          </w:p>
        </w:tc>
      </w:tr>
      <w:tr w14:paraId="4080F186">
        <w:tblPrEx>
          <w:tblCellMar>
            <w:top w:w="0" w:type="dxa"/>
            <w:left w:w="108" w:type="dxa"/>
            <w:bottom w:w="0" w:type="dxa"/>
            <w:right w:w="108" w:type="dxa"/>
          </w:tblCellMar>
        </w:tblPrEx>
        <w:trPr>
          <w:trHeight w:val="878" w:hRule="atLeast"/>
          <w:jc w:val="center"/>
        </w:trPr>
        <w:tc>
          <w:tcPr>
            <w:tcW w:w="1203" w:type="dxa"/>
            <w:vMerge w:val="continue"/>
            <w:tcBorders>
              <w:left w:val="single" w:color="auto" w:sz="4" w:space="0"/>
              <w:right w:val="single" w:color="000000" w:sz="4" w:space="0"/>
            </w:tcBorders>
            <w:noWrap/>
            <w:vAlign w:val="center"/>
          </w:tcPr>
          <w:p w14:paraId="22D95969">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left w:val="single" w:color="auto" w:sz="4" w:space="0"/>
              <w:bottom w:val="single" w:color="auto" w:sz="4" w:space="0"/>
              <w:right w:val="single" w:color="auto" w:sz="4" w:space="0"/>
            </w:tcBorders>
            <w:noWrap/>
            <w:vAlign w:val="center"/>
          </w:tcPr>
          <w:p w14:paraId="5D1A4B19">
            <w:pPr>
              <w:widowControl/>
              <w:adjustRightInd/>
              <w:snapToGrid/>
              <w:spacing w:before="156" w:after="156" w:line="500" w:lineRule="exact"/>
              <w:rPr>
                <w:rFonts w:ascii="仿宋" w:hAnsi="仿宋" w:eastAsia="仿宋" w:cs="宋体"/>
                <w:color w:val="000000" w:themeColor="text1"/>
                <w:sz w:val="28"/>
                <w:szCs w:val="28"/>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1ACDEB28">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LM-10</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32F269E3">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核心部件国产化与批量生产问题</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24361048">
            <w:pPr>
              <w:widowControl/>
              <w:adjustRightInd/>
              <w:snapToGrid/>
              <w:spacing w:before="156" w:after="156" w:line="50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如何推动核心部件（运动关节、执行器等）持续国产化与批量生产，降低硬件成本</w:t>
            </w:r>
            <w:r>
              <w:rPr>
                <w:rFonts w:hint="eastAsia" w:ascii="仿宋" w:hAnsi="仿宋" w:eastAsia="仿宋" w:cs="仿宋"/>
                <w:color w:val="000000" w:themeColor="text1"/>
                <w:sz w:val="28"/>
                <w:szCs w:val="28"/>
                <w:lang w:eastAsia="zh-CN"/>
                <w14:textFill>
                  <w14:solidFill>
                    <w14:schemeClr w14:val="tx1"/>
                  </w14:solidFill>
                </w14:textFill>
              </w:rPr>
              <w:t>。</w:t>
            </w:r>
          </w:p>
        </w:tc>
      </w:tr>
      <w:tr w14:paraId="50490DF6">
        <w:tblPrEx>
          <w:tblCellMar>
            <w:top w:w="0" w:type="dxa"/>
            <w:left w:w="108" w:type="dxa"/>
            <w:bottom w:w="0" w:type="dxa"/>
            <w:right w:w="108" w:type="dxa"/>
          </w:tblCellMar>
        </w:tblPrEx>
        <w:trPr>
          <w:trHeight w:val="878" w:hRule="atLeast"/>
          <w:jc w:val="center"/>
        </w:trPr>
        <w:tc>
          <w:tcPr>
            <w:tcW w:w="1203" w:type="dxa"/>
            <w:vMerge w:val="continue"/>
            <w:tcBorders>
              <w:left w:val="single" w:color="auto" w:sz="4" w:space="0"/>
              <w:right w:val="single" w:color="000000" w:sz="4" w:space="0"/>
            </w:tcBorders>
            <w:noWrap/>
            <w:vAlign w:val="center"/>
          </w:tcPr>
          <w:p w14:paraId="201F4F7B">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restart"/>
            <w:tcBorders>
              <w:top w:val="single" w:color="auto" w:sz="4" w:space="0"/>
              <w:left w:val="single" w:color="auto" w:sz="4" w:space="0"/>
              <w:bottom w:val="single" w:color="auto" w:sz="4" w:space="0"/>
              <w:right w:val="single" w:color="auto" w:sz="4" w:space="0"/>
            </w:tcBorders>
            <w:noWrap/>
            <w:vAlign w:val="center"/>
          </w:tcPr>
          <w:p w14:paraId="3807F3BA">
            <w:pPr>
              <w:widowControl/>
              <w:adjustRightInd/>
              <w:snapToGrid/>
              <w:spacing w:before="156" w:after="156"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应用生态与跨领域合作</w:t>
            </w:r>
          </w:p>
        </w:tc>
        <w:tc>
          <w:tcPr>
            <w:tcW w:w="1203" w:type="dxa"/>
            <w:tcBorders>
              <w:top w:val="single" w:color="auto" w:sz="4" w:space="0"/>
              <w:left w:val="single" w:color="auto" w:sz="4" w:space="0"/>
              <w:bottom w:val="single" w:color="auto" w:sz="4" w:space="0"/>
              <w:right w:val="single" w:color="auto" w:sz="4" w:space="0"/>
            </w:tcBorders>
            <w:noWrap/>
            <w:vAlign w:val="center"/>
          </w:tcPr>
          <w:p w14:paraId="0D36F183">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LM-11</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7B7D2B93">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新品牌缺乏曝光与品牌价值感知弱</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277C5C28">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具身智能机器人核心部件技术复杂性和场景缺失导致用户认知局限，品牌被“隐形化”；用户将部件视为“黑箱”，仅以价格和短期性能为决策依据，忽视长期技术价值。</w:t>
            </w:r>
          </w:p>
        </w:tc>
      </w:tr>
      <w:tr w14:paraId="54837039">
        <w:tblPrEx>
          <w:tblCellMar>
            <w:top w:w="0" w:type="dxa"/>
            <w:left w:w="108" w:type="dxa"/>
            <w:bottom w:w="0" w:type="dxa"/>
            <w:right w:w="108" w:type="dxa"/>
          </w:tblCellMar>
        </w:tblPrEx>
        <w:trPr>
          <w:trHeight w:val="878" w:hRule="atLeast"/>
          <w:jc w:val="center"/>
        </w:trPr>
        <w:tc>
          <w:tcPr>
            <w:tcW w:w="1203" w:type="dxa"/>
            <w:vMerge w:val="continue"/>
            <w:tcBorders>
              <w:left w:val="single" w:color="auto" w:sz="4" w:space="0"/>
              <w:right w:val="single" w:color="000000" w:sz="4" w:space="0"/>
            </w:tcBorders>
            <w:noWrap/>
            <w:vAlign w:val="center"/>
          </w:tcPr>
          <w:p w14:paraId="278C7136">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top w:val="single" w:color="auto" w:sz="4" w:space="0"/>
              <w:left w:val="single" w:color="auto" w:sz="4" w:space="0"/>
              <w:bottom w:val="single" w:color="auto" w:sz="4" w:space="0"/>
              <w:right w:val="single" w:color="auto" w:sz="4" w:space="0"/>
            </w:tcBorders>
            <w:noWrap/>
            <w:vAlign w:val="center"/>
          </w:tcPr>
          <w:p w14:paraId="6A92EDDB">
            <w:pPr>
              <w:widowControl/>
              <w:adjustRightInd/>
              <w:snapToGrid/>
              <w:spacing w:before="156" w:after="156" w:line="500" w:lineRule="exact"/>
              <w:rPr>
                <w:rFonts w:ascii="仿宋" w:hAnsi="仿宋" w:eastAsia="仿宋" w:cs="宋体"/>
                <w:color w:val="000000" w:themeColor="text1"/>
                <w:sz w:val="28"/>
                <w:szCs w:val="28"/>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51DAC167">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LM-12</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396984FD">
            <w:pPr>
              <w:spacing w:beforeLines="0" w:afterLines="0" w:line="500" w:lineRule="exact"/>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在家庭服务、工业巡检等场景的落地应用不足，缺乏成熟商业模式</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0BBEE3AF">
            <w:pPr>
              <w:spacing w:beforeLines="0" w:afterLines="0"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家居服务场景中，多传感器融合算法存在环境适应性不足问题：复杂光照下视觉具身智能机器人核心部件技术复杂性和场景缺失导致用户认知局限，品牌被“隐形化”；用户将部件视为“黑箱”，仅以价格和短期性能为决策依据，忽视长期技术价值。</w:t>
            </w:r>
          </w:p>
        </w:tc>
      </w:tr>
      <w:tr w14:paraId="6FF7D4DC">
        <w:tblPrEx>
          <w:tblCellMar>
            <w:top w:w="0" w:type="dxa"/>
            <w:left w:w="108" w:type="dxa"/>
            <w:bottom w:w="0" w:type="dxa"/>
            <w:right w:w="108" w:type="dxa"/>
          </w:tblCellMar>
        </w:tblPrEx>
        <w:trPr>
          <w:trHeight w:val="878" w:hRule="atLeast"/>
          <w:jc w:val="center"/>
        </w:trPr>
        <w:tc>
          <w:tcPr>
            <w:tcW w:w="1203" w:type="dxa"/>
            <w:vMerge w:val="continue"/>
            <w:tcBorders>
              <w:left w:val="single" w:color="auto" w:sz="4" w:space="0"/>
              <w:right w:val="single" w:color="000000" w:sz="4" w:space="0"/>
            </w:tcBorders>
            <w:noWrap/>
            <w:vAlign w:val="center"/>
          </w:tcPr>
          <w:p w14:paraId="14CA492C">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top w:val="single" w:color="auto" w:sz="4" w:space="0"/>
              <w:left w:val="single" w:color="auto" w:sz="4" w:space="0"/>
              <w:bottom w:val="single" w:color="auto" w:sz="4" w:space="0"/>
              <w:right w:val="single" w:color="auto" w:sz="4" w:space="0"/>
            </w:tcBorders>
            <w:noWrap/>
            <w:vAlign w:val="center"/>
          </w:tcPr>
          <w:p w14:paraId="79E74621">
            <w:pPr>
              <w:widowControl/>
              <w:adjustRightInd/>
              <w:snapToGrid/>
              <w:spacing w:before="156" w:after="156" w:line="500" w:lineRule="exact"/>
              <w:rPr>
                <w:rFonts w:ascii="仿宋" w:hAnsi="仿宋" w:eastAsia="仿宋" w:cs="宋体"/>
                <w:color w:val="000000" w:themeColor="text1"/>
                <w:sz w:val="28"/>
                <w:szCs w:val="28"/>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323210D2">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LM-13</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693A10BF">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机器人操作员缺乏统一培训、复合型人才体系断层</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4AB4D4EE">
            <w:pPr>
              <w:widowControl/>
              <w:adjustRightInd/>
              <w:snapToGrid/>
              <w:spacing w:before="156" w:after="156" w:line="5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机器人操作员培训缺乏标准化体系：</w:t>
            </w:r>
            <w:r>
              <w:rPr>
                <w:rFonts w:ascii="仿宋" w:hAnsi="仿宋" w:eastAsia="仿宋" w:cs="仿宋"/>
                <w:color w:val="000000" w:themeColor="text1"/>
                <w:sz w:val="28"/>
                <w:szCs w:val="28"/>
                <w14:textFill>
                  <w14:solidFill>
                    <w14:schemeClr w14:val="tx1"/>
                  </w14:solidFill>
                </w14:textFill>
              </w:rPr>
              <w:t>无统一培训流程与考核标准，技能水平参差不齐；缺乏分场景（科研/教育/工业）的定制化课程；认证机制缺失，制约行业人才职业化发展，阻碍机器人规模化应用。</w:t>
            </w:r>
          </w:p>
          <w:p w14:paraId="5302B1CA">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学科壁垒固化，精通人工智能、机器人硬件和临床医学等学科的跨学科人才极度稀缺，多数高校尚未建立复合人才培养平台，制约核心部件的创新迭代</w:t>
            </w:r>
            <w:r>
              <w:rPr>
                <w:rFonts w:ascii="仿宋" w:hAnsi="仿宋" w:eastAsia="仿宋" w:cs="仿宋"/>
                <w:color w:val="000000" w:themeColor="text1"/>
                <w:sz w:val="28"/>
                <w:szCs w:val="28"/>
                <w14:textFill>
                  <w14:solidFill>
                    <w14:schemeClr w14:val="tx1"/>
                  </w14:solidFill>
                </w14:textFill>
              </w:rPr>
              <w:t>。</w:t>
            </w:r>
          </w:p>
        </w:tc>
      </w:tr>
      <w:tr w14:paraId="559B9374">
        <w:tblPrEx>
          <w:tblCellMar>
            <w:top w:w="0" w:type="dxa"/>
            <w:left w:w="108" w:type="dxa"/>
            <w:bottom w:w="0" w:type="dxa"/>
            <w:right w:w="108" w:type="dxa"/>
          </w:tblCellMar>
        </w:tblPrEx>
        <w:trPr>
          <w:trHeight w:val="878" w:hRule="atLeast"/>
          <w:jc w:val="center"/>
        </w:trPr>
        <w:tc>
          <w:tcPr>
            <w:tcW w:w="1203" w:type="dxa"/>
            <w:vMerge w:val="continue"/>
            <w:tcBorders>
              <w:left w:val="single" w:color="auto" w:sz="4" w:space="0"/>
              <w:right w:val="single" w:color="000000" w:sz="4" w:space="0"/>
            </w:tcBorders>
            <w:noWrap/>
            <w:vAlign w:val="center"/>
          </w:tcPr>
          <w:p w14:paraId="003190B4">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top w:val="single" w:color="auto" w:sz="4" w:space="0"/>
              <w:left w:val="single" w:color="auto" w:sz="4" w:space="0"/>
              <w:bottom w:val="single" w:color="auto" w:sz="4" w:space="0"/>
              <w:right w:val="single" w:color="auto" w:sz="4" w:space="0"/>
            </w:tcBorders>
            <w:noWrap/>
            <w:vAlign w:val="center"/>
          </w:tcPr>
          <w:p w14:paraId="64259A9C">
            <w:pPr>
              <w:widowControl/>
              <w:adjustRightInd/>
              <w:snapToGrid/>
              <w:spacing w:before="156" w:after="156" w:line="500" w:lineRule="exact"/>
              <w:rPr>
                <w:rFonts w:ascii="仿宋" w:hAnsi="仿宋" w:eastAsia="仿宋" w:cs="宋体"/>
                <w:color w:val="000000" w:themeColor="text1"/>
                <w:sz w:val="28"/>
                <w:szCs w:val="28"/>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452B1E04">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LM-14</w:t>
            </w:r>
          </w:p>
        </w:tc>
        <w:tc>
          <w:tcPr>
            <w:tcW w:w="2937" w:type="dxa"/>
            <w:tcBorders>
              <w:top w:val="single" w:color="000000" w:sz="4" w:space="0"/>
              <w:left w:val="single" w:color="auto" w:sz="4" w:space="0"/>
              <w:bottom w:val="single" w:color="000000" w:sz="4" w:space="0"/>
              <w:right w:val="single" w:color="000000" w:sz="4" w:space="0"/>
            </w:tcBorders>
            <w:noWrap/>
            <w:vAlign w:val="center"/>
          </w:tcPr>
          <w:p w14:paraId="1101DBA7">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产学研协同突破</w:t>
            </w:r>
          </w:p>
        </w:tc>
        <w:tc>
          <w:tcPr>
            <w:tcW w:w="9345" w:type="dxa"/>
            <w:tcBorders>
              <w:top w:val="single" w:color="000000" w:sz="4" w:space="0"/>
              <w:left w:val="single" w:color="000000" w:sz="4" w:space="0"/>
              <w:bottom w:val="single" w:color="000000" w:sz="4" w:space="0"/>
              <w:right w:val="single" w:color="auto" w:sz="4" w:space="0"/>
            </w:tcBorders>
            <w:noWrap/>
            <w:vAlign w:val="center"/>
          </w:tcPr>
          <w:p w14:paraId="548DCC4C">
            <w:pPr>
              <w:widowControl/>
              <w:adjustRightInd/>
              <w:snapToGrid/>
              <w:spacing w:before="156" w:after="156" w:line="50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企业与高校在技术研发中存在目标错位：</w:t>
            </w:r>
            <w:r>
              <w:rPr>
                <w:rFonts w:ascii="仿宋" w:hAnsi="仿宋" w:eastAsia="仿宋" w:cs="仿宋"/>
                <w:color w:val="000000" w:themeColor="text1"/>
                <w:sz w:val="28"/>
                <w:szCs w:val="28"/>
                <w14:textFill>
                  <w14:solidFill>
                    <w14:schemeClr w14:val="tx1"/>
                  </w14:solidFill>
                </w14:textFill>
              </w:rPr>
              <w:t>企业侧重短期商业化落地，高校聚焦基础研究；知识产权分配、成果转化路径不清晰；缺乏常态化协同平台，难以实现“当下商业需求”与“未来技术储备”的双向联动</w:t>
            </w:r>
            <w:r>
              <w:rPr>
                <w:rFonts w:hint="eastAsia" w:ascii="仿宋" w:hAnsi="仿宋" w:eastAsia="仿宋" w:cs="仿宋"/>
                <w:color w:val="000000" w:themeColor="text1"/>
                <w:sz w:val="28"/>
                <w:szCs w:val="28"/>
                <w:lang w:eastAsia="zh-CN"/>
                <w14:textFill>
                  <w14:solidFill>
                    <w14:schemeClr w14:val="tx1"/>
                  </w14:solidFill>
                </w14:textFill>
              </w:rPr>
              <w:t>。</w:t>
            </w:r>
          </w:p>
        </w:tc>
      </w:tr>
      <w:tr w14:paraId="1E0BD02D">
        <w:tblPrEx>
          <w:tblCellMar>
            <w:top w:w="0" w:type="dxa"/>
            <w:left w:w="108" w:type="dxa"/>
            <w:bottom w:w="0" w:type="dxa"/>
            <w:right w:w="108" w:type="dxa"/>
          </w:tblCellMar>
        </w:tblPrEx>
        <w:trPr>
          <w:trHeight w:val="878" w:hRule="atLeast"/>
          <w:jc w:val="center"/>
        </w:trPr>
        <w:tc>
          <w:tcPr>
            <w:tcW w:w="1203" w:type="dxa"/>
            <w:vMerge w:val="continue"/>
            <w:tcBorders>
              <w:left w:val="single" w:color="auto" w:sz="4" w:space="0"/>
              <w:bottom w:val="single" w:color="auto" w:sz="4" w:space="0"/>
              <w:right w:val="single" w:color="000000" w:sz="4" w:space="0"/>
            </w:tcBorders>
            <w:noWrap/>
            <w:vAlign w:val="center"/>
          </w:tcPr>
          <w:p w14:paraId="699016D6">
            <w:pPr>
              <w:widowControl/>
              <w:spacing w:before="156" w:after="156"/>
              <w:jc w:val="center"/>
              <w:textAlignment w:val="center"/>
              <w:rPr>
                <w:rFonts w:ascii="仿宋" w:hAnsi="仿宋" w:eastAsia="仿宋" w:cs="仿宋"/>
                <w:color w:val="000000" w:themeColor="text1"/>
                <w:kern w:val="0"/>
                <w:sz w:val="28"/>
                <w:szCs w:val="28"/>
                <w14:textFill>
                  <w14:solidFill>
                    <w14:schemeClr w14:val="tx1"/>
                  </w14:solidFill>
                </w14:textFill>
              </w:rPr>
            </w:pPr>
          </w:p>
        </w:tc>
        <w:tc>
          <w:tcPr>
            <w:tcW w:w="1203" w:type="dxa"/>
            <w:vMerge w:val="continue"/>
            <w:tcBorders>
              <w:top w:val="single" w:color="auto" w:sz="4" w:space="0"/>
              <w:left w:val="single" w:color="auto" w:sz="4" w:space="0"/>
              <w:bottom w:val="single" w:color="auto" w:sz="4" w:space="0"/>
              <w:right w:val="single" w:color="auto" w:sz="4" w:space="0"/>
            </w:tcBorders>
            <w:noWrap/>
            <w:vAlign w:val="center"/>
          </w:tcPr>
          <w:p w14:paraId="2E63AF51">
            <w:pPr>
              <w:widowControl/>
              <w:adjustRightInd/>
              <w:snapToGrid/>
              <w:spacing w:before="156" w:after="156" w:line="500" w:lineRule="exact"/>
              <w:rPr>
                <w:rFonts w:ascii="仿宋" w:hAnsi="仿宋" w:eastAsia="仿宋" w:cs="宋体"/>
                <w:color w:val="000000" w:themeColor="text1"/>
                <w:sz w:val="28"/>
                <w:szCs w:val="28"/>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6D24AD58">
            <w:pPr>
              <w:widowControl/>
              <w:adjustRightInd/>
              <w:snapToGrid/>
              <w:spacing w:before="156" w:after="156"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LM-15</w:t>
            </w:r>
          </w:p>
        </w:tc>
        <w:tc>
          <w:tcPr>
            <w:tcW w:w="2937" w:type="dxa"/>
            <w:tcBorders>
              <w:top w:val="single" w:color="000000" w:sz="4" w:space="0"/>
              <w:left w:val="single" w:color="auto" w:sz="4" w:space="0"/>
              <w:bottom w:val="single" w:color="auto" w:sz="4" w:space="0"/>
              <w:right w:val="single" w:color="000000" w:sz="4" w:space="0"/>
            </w:tcBorders>
            <w:noWrap/>
            <w:vAlign w:val="center"/>
          </w:tcPr>
          <w:p w14:paraId="166378DC">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机器人产品</w:t>
            </w:r>
            <w:r>
              <w:rPr>
                <w:rFonts w:hint="eastAsia" w:ascii="仿宋" w:hAnsi="仿宋" w:eastAsia="仿宋" w:cs="仿宋"/>
                <w:color w:val="000000" w:themeColor="text1"/>
                <w:sz w:val="28"/>
                <w:szCs w:val="28"/>
                <w:lang w:val="en-US" w:eastAsia="zh-CN"/>
                <w14:textFill>
                  <w14:solidFill>
                    <w14:schemeClr w14:val="tx1"/>
                  </w14:solidFill>
                </w14:textFill>
              </w:rPr>
              <w:t>保险</w:t>
            </w:r>
            <w:r>
              <w:rPr>
                <w:rFonts w:hint="eastAsia" w:ascii="仿宋" w:hAnsi="仿宋" w:eastAsia="仿宋" w:cs="仿宋"/>
                <w:color w:val="000000" w:themeColor="text1"/>
                <w:sz w:val="28"/>
                <w:szCs w:val="28"/>
                <w14:textFill>
                  <w14:solidFill>
                    <w14:schemeClr w14:val="tx1"/>
                  </w14:solidFill>
                </w14:textFill>
              </w:rPr>
              <w:t>问题</w:t>
            </w:r>
          </w:p>
        </w:tc>
        <w:tc>
          <w:tcPr>
            <w:tcW w:w="9345" w:type="dxa"/>
            <w:tcBorders>
              <w:top w:val="single" w:color="000000" w:sz="4" w:space="0"/>
              <w:left w:val="single" w:color="000000" w:sz="4" w:space="0"/>
              <w:bottom w:val="single" w:color="auto" w:sz="4" w:space="0"/>
              <w:right w:val="single" w:color="auto" w:sz="4" w:space="0"/>
            </w:tcBorders>
            <w:noWrap/>
            <w:vAlign w:val="center"/>
          </w:tcPr>
          <w:p w14:paraId="1EF680AD">
            <w:pPr>
              <w:widowControl/>
              <w:adjustRightInd/>
              <w:snapToGrid/>
              <w:spacing w:before="156" w:after="156"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缺乏相应险种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机器人风险兼具“机械故障</w:t>
            </w:r>
            <w:r>
              <w:rPr>
                <w:rFonts w:ascii="仿宋" w:hAnsi="仿宋" w:eastAsia="仿宋" w:cs="仿宋"/>
                <w:color w:val="000000" w:themeColor="text1"/>
                <w:sz w:val="28"/>
                <w:szCs w:val="28"/>
                <w14:textFill>
                  <w14:solidFill>
                    <w14:schemeClr w14:val="tx1"/>
                  </w14:solidFill>
                </w14:textFill>
              </w:rPr>
              <w:t>+数据安全+伦理失控”三重属性</w:t>
            </w:r>
            <w:r>
              <w:rPr>
                <w:rFonts w:hint="eastAsia" w:ascii="仿宋" w:hAnsi="仿宋" w:eastAsia="仿宋" w:cs="仿宋"/>
                <w:color w:val="000000" w:themeColor="text1"/>
                <w:sz w:val="28"/>
                <w:szCs w:val="28"/>
                <w14:textFill>
                  <w14:solidFill>
                    <w14:schemeClr w14:val="tx1"/>
                  </w14:solidFill>
                </w14:textFill>
              </w:rPr>
              <w:t>，人机责任边界不清，通常涉及硬件制造、</w:t>
            </w:r>
            <w:r>
              <w:rPr>
                <w:rFonts w:ascii="仿宋" w:hAnsi="仿宋" w:eastAsia="仿宋" w:cs="仿宋"/>
                <w:color w:val="000000" w:themeColor="text1"/>
                <w:sz w:val="28"/>
                <w:szCs w:val="28"/>
                <w14:textFill>
                  <w14:solidFill>
                    <w14:schemeClr w14:val="tx1"/>
                  </w14:solidFill>
                </w14:textFill>
              </w:rPr>
              <w:t>AI算法、数据平台等多方主体，保险追偿链条长</w:t>
            </w:r>
            <w:r>
              <w:rPr>
                <w:rFonts w:hint="eastAsia" w:ascii="仿宋" w:hAnsi="仿宋" w:eastAsia="仿宋" w:cs="仿宋"/>
                <w:color w:val="000000" w:themeColor="text1"/>
                <w:sz w:val="28"/>
                <w:szCs w:val="28"/>
                <w14:textFill>
                  <w14:solidFill>
                    <w14:schemeClr w14:val="tx1"/>
                  </w14:solidFill>
                </w14:textFill>
              </w:rPr>
              <w:t>且保无法量化；需求与保险供给错位，用户权益保障不足</w:t>
            </w:r>
            <w:r>
              <w:rPr>
                <w:rFonts w:ascii="仿宋" w:hAnsi="仿宋" w:eastAsia="仿宋" w:cs="仿宋"/>
                <w:color w:val="000000" w:themeColor="text1"/>
                <w:sz w:val="28"/>
                <w:szCs w:val="28"/>
                <w14:textFill>
                  <w14:solidFill>
                    <w14:schemeClr w14:val="tx1"/>
                  </w14:solidFill>
                </w14:textFill>
              </w:rPr>
              <w:t>。</w:t>
            </w:r>
          </w:p>
        </w:tc>
      </w:tr>
    </w:tbl>
    <w:p w14:paraId="3EA5A378"/>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EE5520E-AA38-49E5-A555-9B4945BE4DE0}"/>
  </w:font>
  <w:font w:name="汉仪文黑-55简">
    <w:altName w:val="黑体"/>
    <w:panose1 w:val="00000000000000000000"/>
    <w:charset w:val="86"/>
    <w:family w:val="auto"/>
    <w:pitch w:val="default"/>
    <w:sig w:usb0="00000000" w:usb1="00000000" w:usb2="00000016"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EAC35911-0CC7-4B84-99BF-F364FF990A7B}"/>
  </w:font>
  <w:font w:name="方正公文小标宋">
    <w:panose1 w:val="02000500000000000000"/>
    <w:charset w:val="86"/>
    <w:family w:val="auto"/>
    <w:pitch w:val="default"/>
    <w:sig w:usb0="A00002BF" w:usb1="38CF7CFA" w:usb2="00000016" w:usb3="00000000" w:csb0="00040001" w:csb1="00000000"/>
    <w:embedRegular r:id="rId3" w:fontKey="{2B60E169-C204-4B6C-8933-D87110CE633F}"/>
  </w:font>
  <w:font w:name="仿宋">
    <w:panose1 w:val="02010609060101010101"/>
    <w:charset w:val="86"/>
    <w:family w:val="modern"/>
    <w:pitch w:val="default"/>
    <w:sig w:usb0="800002BF" w:usb1="38CF7CFA" w:usb2="00000016" w:usb3="00000000" w:csb0="00040001" w:csb1="00000000"/>
    <w:embedRegular r:id="rId4" w:fontKey="{A71A36F9-1378-401C-9AC8-E96A8B4824C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B2844"/>
    <w:rsid w:val="7B6E6549"/>
    <w:rsid w:val="7F8B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Lines="50" w:afterLines="50" w:line="288" w:lineRule="auto"/>
      <w:jc w:val="both"/>
    </w:pPr>
    <w:rPr>
      <w:rFonts w:ascii="汉仪文黑-55简" w:hAnsi="汉仪文黑-55简" w:eastAsia="汉仪文黑-55简" w:cs="Times New Roman"/>
      <w:kern w:val="2"/>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uto"/>
      <w:jc w:val="left"/>
    </w:pPr>
    <w:rPr>
      <w:sz w:val="18"/>
      <w:szCs w:val="18"/>
    </w:rPr>
  </w:style>
  <w:style w:type="paragraph" w:styleId="3">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1347</Words>
  <Characters>1411</Characters>
  <Lines>0</Lines>
  <Paragraphs>0</Paragraphs>
  <TotalTime>7</TotalTime>
  <ScaleCrop>false</ScaleCrop>
  <LinksUpToDate>false</LinksUpToDate>
  <CharactersWithSpaces>1412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2025-06-27T02:17:00Z</dcterms:created>
  <dc:creator>Mr.Ren</dc:creator>
  <cp:lastModifiedBy>蜡笔小新～</cp:lastModifiedBy>
  <dcterms:modified xsi:type="dcterms:W3CDTF">2025-06-27T03:29:18Z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eyJoZGlkIjoiZGQwMGRkZDIxNTI0MGUwNWFmMGYzZTg0Njk5M2M2ODMiLCJ1c2VySWQiOiIyNzAxMjcwOTgifQ==</vt:lpwstr>
  </property>
  <property fmtid="{D5CDD505-2E9C-101B-9397-08002B2CF9AE}" pid="4" name="ICV">
    <vt:lpwstr>84A7B29AE21E40E2AD463A7A2AF394C3_12</vt:lpwstr>
  </property>
</Properties>
</file>